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CB7B27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904AC4" w:rsidRPr="00904AC4">
        <w:rPr>
          <w:i w:val="0"/>
          <w:iCs w:val="0"/>
          <w:sz w:val="44"/>
          <w:szCs w:val="44"/>
        </w:rPr>
        <w:t>1</w:t>
      </w:r>
      <w:r w:rsidR="00480C19" w:rsidRPr="00480C19">
        <w:rPr>
          <w:i w:val="0"/>
          <w:sz w:val="44"/>
          <w:szCs w:val="44"/>
        </w:rPr>
        <w:t xml:space="preserve"> месяц 202</w:t>
      </w:r>
      <w:r w:rsidR="00014ED7">
        <w:rPr>
          <w:i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746759">
        <w:t>1</w:t>
      </w:r>
    </w:p>
    <w:p w:rsidR="00F739F3" w:rsidRPr="00F739F3" w:rsidRDefault="00F739F3" w:rsidP="00750E81"/>
    <w:p w:rsidR="004674A2" w:rsidRDefault="004674A2" w:rsidP="00750E81">
      <w:pPr>
        <w:jc w:val="center"/>
        <w:rPr>
          <w:b/>
          <w:bCs/>
          <w:sz w:val="32"/>
          <w:szCs w:val="32"/>
        </w:rPr>
      </w:pPr>
    </w:p>
    <w:p w:rsidR="00B65238" w:rsidRPr="006A116F" w:rsidRDefault="00B65238" w:rsidP="00750E81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750E81">
      <w:pPr>
        <w:jc w:val="center"/>
        <w:rPr>
          <w:b/>
          <w:sz w:val="20"/>
          <w:szCs w:val="20"/>
        </w:rPr>
      </w:pPr>
    </w:p>
    <w:p w:rsidR="00014ED7" w:rsidRPr="00014ED7" w:rsidRDefault="00014ED7" w:rsidP="00014ED7">
      <w:pPr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За 1 месяц 2022 года произошло 452 пожара, на которых погибло 30 человек, в том числе 2 несовершеннолетних,  получили травмы 23 человека. Зарегистрированный материальный ущерб составляет 1,2 млн. рублей.</w:t>
      </w:r>
    </w:p>
    <w:p w:rsidR="00014ED7" w:rsidRPr="00014ED7" w:rsidRDefault="00014ED7" w:rsidP="00014ED7">
      <w:pPr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 пожарах эвакуировано 714 человека, спасено 92 человека и материальных ценностей на сумму 0 млн. рублей.</w:t>
      </w:r>
    </w:p>
    <w:p w:rsidR="00014ED7" w:rsidRPr="00014ED7" w:rsidRDefault="00014ED7" w:rsidP="00014ED7">
      <w:pPr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 xml:space="preserve">В среднем ежедневно происходило 15 пожаров, на которых погиб 1 человек,  получил травму 1 человек, огнем уничтожалось </w:t>
      </w:r>
    </w:p>
    <w:p w:rsidR="00AA5A9C" w:rsidRDefault="00014ED7" w:rsidP="00014ED7">
      <w:pPr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Количество пожаров на 100 тыс. человек населения – 10,49 пожаров, количество погибших на 100 тыс. человек населения – 0,7 человек, количество травмированных на 100 тыс. населения – 0,53 человека.</w:t>
      </w:r>
    </w:p>
    <w:p w:rsidR="00AA5A9C" w:rsidRDefault="00AA5A9C" w:rsidP="00AA5A9C">
      <w:pPr>
        <w:ind w:firstLine="709"/>
        <w:jc w:val="both"/>
        <w:rPr>
          <w:sz w:val="28"/>
          <w:szCs w:val="28"/>
        </w:rPr>
      </w:pPr>
    </w:p>
    <w:p w:rsidR="00CC097B" w:rsidRDefault="00014ED7" w:rsidP="00AA5A9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3597F7B" wp14:editId="14B7F625">
            <wp:extent cx="6132367" cy="417763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097B" w:rsidRPr="009F4B63" w:rsidRDefault="00CC097B" w:rsidP="00750E81">
      <w:pPr>
        <w:ind w:firstLine="709"/>
        <w:jc w:val="both"/>
        <w:rPr>
          <w:sz w:val="28"/>
          <w:szCs w:val="28"/>
        </w:rPr>
      </w:pPr>
    </w:p>
    <w:p w:rsidR="00044F0E" w:rsidRPr="004D16FC" w:rsidRDefault="00044F0E" w:rsidP="00750E81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750E81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49"/>
        <w:gridCol w:w="1315"/>
        <w:gridCol w:w="1157"/>
      </w:tblGrid>
      <w:tr w:rsidR="00C00235" w:rsidTr="00B209D3">
        <w:trPr>
          <w:trHeight w:val="660"/>
        </w:trPr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014ED7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4ED7" w:rsidRDefault="00014ED7" w:rsidP="00014ED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014ED7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14ED7" w:rsidRDefault="00014ED7" w:rsidP="00014ED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014ED7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14ED7" w:rsidRDefault="00014ED7" w:rsidP="00014ED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</w:tr>
    </w:tbl>
    <w:p w:rsidR="007F59D8" w:rsidRDefault="007F59D8" w:rsidP="00750E81">
      <w:pPr>
        <w:rPr>
          <w:sz w:val="28"/>
          <w:szCs w:val="28"/>
        </w:rPr>
      </w:pPr>
    </w:p>
    <w:p w:rsidR="00014ED7" w:rsidRPr="00014ED7" w:rsidRDefault="00014ED7" w:rsidP="00014E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lastRenderedPageBreak/>
        <w:t xml:space="preserve">На </w:t>
      </w:r>
      <w:proofErr w:type="spellStart"/>
      <w:r w:rsidRPr="00014ED7">
        <w:rPr>
          <w:sz w:val="28"/>
          <w:szCs w:val="28"/>
        </w:rPr>
        <w:t>неподнадзорных</w:t>
      </w:r>
      <w:proofErr w:type="spellEnd"/>
      <w:r w:rsidRPr="00014ED7">
        <w:rPr>
          <w:sz w:val="28"/>
          <w:szCs w:val="28"/>
        </w:rPr>
        <w:t xml:space="preserve"> объектах произошло 410 пожаров, на которых погибло 30 человек.</w:t>
      </w:r>
    </w:p>
    <w:p w:rsidR="00014ED7" w:rsidRPr="00014ED7" w:rsidRDefault="00014ED7" w:rsidP="00014E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Наибольшее количество пожаров происходило в субботу – 99 (22% от общего количества).</w:t>
      </w:r>
    </w:p>
    <w:p w:rsidR="00014ED7" w:rsidRPr="00014ED7" w:rsidRDefault="00014ED7" w:rsidP="00014E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Наименьшее количество пожаров происходило во вторник – 50 (11% от общего количества).</w:t>
      </w:r>
    </w:p>
    <w:p w:rsidR="00014ED7" w:rsidRPr="00014ED7" w:rsidRDefault="00014ED7" w:rsidP="00014E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Наибольшее количество погибших зарегистрировано в воскресенье – 9 (30% от общего количества).</w:t>
      </w:r>
    </w:p>
    <w:p w:rsidR="00AA5A9C" w:rsidRDefault="00014ED7" w:rsidP="00014E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Наименьшее количество погибших зарегистрировано во вторник – 1 (3% от общего количества).</w:t>
      </w:r>
    </w:p>
    <w:p w:rsidR="00C00235" w:rsidRDefault="00014ED7" w:rsidP="00AA5A9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B357235" wp14:editId="7F18AEF4">
            <wp:extent cx="6362065" cy="2691441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5A9C" w:rsidRDefault="00014ED7" w:rsidP="00AA5B56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Наибольшее количество людей погибло в вечернее время (18.00-00.00) – 12 человек (40% от общего количества). В 0 случаях  момент гибели людей не установлен.</w:t>
      </w:r>
    </w:p>
    <w:p w:rsidR="00C00235" w:rsidRPr="00797756" w:rsidRDefault="00C00235" w:rsidP="00750E81">
      <w:pPr>
        <w:shd w:val="clear" w:color="auto" w:fill="FFFFFF"/>
        <w:jc w:val="both"/>
        <w:rPr>
          <w:sz w:val="28"/>
          <w:szCs w:val="28"/>
        </w:rPr>
      </w:pPr>
    </w:p>
    <w:p w:rsidR="00AA5B56" w:rsidRDefault="00014ED7" w:rsidP="00807BCC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08AA18E" wp14:editId="781980D1">
            <wp:extent cx="6441795" cy="3683451"/>
            <wp:effectExtent l="0" t="0" r="1651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5B56" w:rsidRDefault="00014ED7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lastRenderedPageBreak/>
        <w:t>Наибольшее количество человек погибло вследствие отравления токсичными продуктами горения при пожаре – 23 человека (77% от общего количества).</w:t>
      </w:r>
    </w:p>
    <w:p w:rsidR="00D5163E" w:rsidRDefault="00014ED7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23B767" wp14:editId="3F3A2E1F">
            <wp:extent cx="6443382" cy="3565216"/>
            <wp:effectExtent l="0" t="0" r="1460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134D" w:rsidRDefault="002D134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C00235" w:rsidRPr="00C33604" w:rsidRDefault="00C00235" w:rsidP="00750E8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33604">
        <w:rPr>
          <w:sz w:val="28"/>
          <w:szCs w:val="28"/>
        </w:rPr>
        <w:t xml:space="preserve">Наибольшее количество погибших составили пенсионеры – </w:t>
      </w:r>
      <w:r w:rsidR="00AA5A9C">
        <w:rPr>
          <w:sz w:val="28"/>
          <w:szCs w:val="28"/>
        </w:rPr>
        <w:t>98</w:t>
      </w:r>
      <w:r w:rsidRPr="00C33604">
        <w:rPr>
          <w:sz w:val="28"/>
          <w:szCs w:val="28"/>
        </w:rPr>
        <w:t xml:space="preserve"> человек (3</w:t>
      </w:r>
      <w:r w:rsidR="00AA5A9C">
        <w:rPr>
          <w:sz w:val="28"/>
          <w:szCs w:val="28"/>
        </w:rPr>
        <w:t>5</w:t>
      </w:r>
      <w:r w:rsidRPr="00C33604">
        <w:rPr>
          <w:sz w:val="28"/>
          <w:szCs w:val="28"/>
        </w:rPr>
        <w:t>% от общего количества).</w:t>
      </w:r>
    </w:p>
    <w:p w:rsidR="00CB2AF6" w:rsidRPr="004C121A" w:rsidRDefault="002D134D" w:rsidP="00C33604">
      <w:pPr>
        <w:tabs>
          <w:tab w:val="left" w:pos="851"/>
        </w:tabs>
        <w:ind w:firstLine="709"/>
        <w:jc w:val="right"/>
        <w:rPr>
          <w:b/>
          <w:bCs/>
          <w:color w:val="76923C" w:themeColor="accent3" w:themeShade="BF"/>
          <w:sz w:val="10"/>
          <w:szCs w:val="10"/>
        </w:rPr>
      </w:pPr>
      <w:r w:rsidRPr="004D16FC">
        <w:rPr>
          <w:color w:val="000000" w:themeColor="text1"/>
          <w:sz w:val="28"/>
          <w:szCs w:val="28"/>
        </w:rPr>
        <w:t>Таблица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2"/>
        <w:gridCol w:w="738"/>
        <w:gridCol w:w="696"/>
        <w:gridCol w:w="986"/>
        <w:gridCol w:w="959"/>
      </w:tblGrid>
      <w:tr w:rsidR="00014ED7" w:rsidTr="00B209D3">
        <w:trPr>
          <w:trHeight w:val="375"/>
        </w:trPr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Работник рабочих специальностей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13,3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Руководитель организации (предприятия)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Индивидуальный предприниматель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Безработный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20,0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Лицо, находящееся в местах лишения свободы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Домработница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Работник пожарной охраны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Служащие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r>
              <w:t>Прочее трудоспособное население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Ребенок дошкольного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6,7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 xml:space="preserve">Ребенок младшего школьного возраста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Ребенок среднего и старшего 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Пенсионер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-42,9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40,0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Инвалид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БОМЖ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Иностранный гражданин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r>
              <w:t>Лицо без гражданства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0,0</w:t>
            </w:r>
          </w:p>
        </w:tc>
      </w:tr>
      <w:tr w:rsidR="00014ED7" w:rsidTr="0046063C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ED7" w:rsidRDefault="00014ED7" w:rsidP="00014ED7">
            <w:proofErr w:type="spellStart"/>
            <w:r>
              <w:t>Cоциальное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</w:pPr>
            <w:r>
              <w:t>20,0</w:t>
            </w:r>
          </w:p>
        </w:tc>
      </w:tr>
    </w:tbl>
    <w:p w:rsidR="00CB2AF6" w:rsidRPr="00D4799C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lastRenderedPageBreak/>
        <w:t>2. Обстановка с пожарами и их последствиями</w:t>
      </w:r>
    </w:p>
    <w:p w:rsidR="00CB2AF6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750E81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750E8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37520C" w:rsidP="00750E81">
      <w:pPr>
        <w:shd w:val="clear" w:color="auto" w:fill="FFFFFF" w:themeFill="background1"/>
        <w:jc w:val="center"/>
        <w:rPr>
          <w:sz w:val="28"/>
          <w:szCs w:val="28"/>
        </w:rPr>
      </w:pPr>
    </w:p>
    <w:p w:rsidR="00226007" w:rsidRDefault="00014ED7" w:rsidP="00807BCC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48698F" wp14:editId="4FE02472">
            <wp:extent cx="6480175" cy="361446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134D" w:rsidRDefault="006F0CD6" w:rsidP="00750E81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6F0CD6" w:rsidRDefault="00014ED7" w:rsidP="00750E81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C37C7D" wp14:editId="6102B94C">
            <wp:extent cx="6480175" cy="454533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81C4F" w:rsidRPr="00E90BD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lastRenderedPageBreak/>
        <w:t>3. Обстановка с пожарами и их последствиями</w:t>
      </w:r>
    </w:p>
    <w:p w:rsidR="00581C4F" w:rsidRDefault="00581C4F" w:rsidP="00D516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014ED7" w:rsidRDefault="00014ED7" w:rsidP="009F44CF">
      <w:pPr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В городской местности зарегистрировано 309 пожаров (68%), на которых погибло 23 человека (77%), в том числе 2 несовершеннолетних (100%), получили травмы 19 человек (83%).</w:t>
      </w:r>
    </w:p>
    <w:p w:rsidR="00010487" w:rsidRDefault="00014ED7" w:rsidP="00750E8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A67E53D" wp14:editId="1E31CC98">
            <wp:extent cx="6480175" cy="25879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в городской местности являются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1. Неосторожное обращение с огнем – 155 пожаров (50% от общего количества пожаров в городской местности), в том числе: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 xml:space="preserve"> - неосторожное обращение с огнем при курении – 46 (15%);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 xml:space="preserve"> - детская шалость – 1 (0%);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2. Нарушение правил устройства и эксплуатации электрооборудования – 76 (25%).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3. Нарушение правил устройства и эксплуатации печного оборудования – 29 (9%).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4. Поджог – 18 (6%).</w:t>
      </w:r>
    </w:p>
    <w:p w:rsidR="00014ED7" w:rsidRPr="00014ED7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5. Нарушение привил устройства и эксплуатации транспортных средств – 12 (4%).</w:t>
      </w:r>
    </w:p>
    <w:p w:rsidR="0044009E" w:rsidRDefault="00014ED7" w:rsidP="00014ED7">
      <w:pPr>
        <w:shd w:val="clear" w:color="auto" w:fill="FFFFFF"/>
        <w:ind w:firstLine="709"/>
        <w:jc w:val="both"/>
        <w:rPr>
          <w:sz w:val="28"/>
          <w:szCs w:val="28"/>
        </w:rPr>
      </w:pPr>
      <w:r w:rsidRPr="00014ED7">
        <w:rPr>
          <w:sz w:val="28"/>
          <w:szCs w:val="28"/>
        </w:rPr>
        <w:t>6. Иные причины – 19 (6%).</w:t>
      </w:r>
    </w:p>
    <w:p w:rsidR="00581C4F" w:rsidRDefault="00581C4F" w:rsidP="00750E8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014ED7" w:rsidRDefault="00014ED7" w:rsidP="00750E81">
      <w:pPr>
        <w:shd w:val="clear" w:color="auto" w:fill="FFFFFF" w:themeFill="background1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118B67" wp14:editId="096DC21F">
            <wp:extent cx="6082030" cy="290710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81C4F" w:rsidRPr="00A1616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lastRenderedPageBreak/>
        <w:t xml:space="preserve">4. Обстановка с пожарами и их последствиями </w:t>
      </w:r>
    </w:p>
    <w:p w:rsidR="00581C4F" w:rsidRPr="00A1616F" w:rsidRDefault="00581C4F" w:rsidP="00750E81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151C3A" w:rsidRDefault="00967B5D" w:rsidP="009F44C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67B5D">
        <w:rPr>
          <w:sz w:val="28"/>
          <w:szCs w:val="28"/>
        </w:rPr>
        <w:t>В сельской местности зарегистрировано 143 пожара (32%), на которых погибло 7 человек (23%), гибели детей не допущено, получили травмы 4 человека (17%).</w:t>
      </w:r>
    </w:p>
    <w:p w:rsidR="00D5163E" w:rsidRDefault="00967B5D" w:rsidP="00750E81">
      <w:pP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 wp14:anchorId="5273C06F" wp14:editId="65515AFD">
            <wp:extent cx="6247765" cy="2329132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Основными причинами пожаров </w:t>
      </w:r>
      <w:r w:rsidR="00F43F95">
        <w:rPr>
          <w:b/>
          <w:bCs/>
          <w:color w:val="000000" w:themeColor="text1"/>
          <w:sz w:val="28"/>
          <w:szCs w:val="28"/>
        </w:rPr>
        <w:t xml:space="preserve">в сельской местности </w:t>
      </w:r>
      <w:r w:rsidRPr="004D16FC">
        <w:rPr>
          <w:b/>
          <w:bCs/>
          <w:color w:val="000000" w:themeColor="text1"/>
          <w:sz w:val="28"/>
          <w:szCs w:val="28"/>
        </w:rPr>
        <w:t>являются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1. Неосторожное обращение с огнем – 39 пожаров (27% от общего количества пожаров в сельской местности), в том числе: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 xml:space="preserve"> - неосторожное обращение с огнем при курении – 19 (13%);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 xml:space="preserve"> - детская шалость – 0 (0%);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2. Нарушение правил устройства и эксплуатации электрооборудования – 57 (40%).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3. Нарушение правил устройства и эксплуатации печного оборудования – 36 (25%).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4. Поджог – 2 (1%).</w:t>
      </w:r>
    </w:p>
    <w:p w:rsidR="00967B5D" w:rsidRPr="00967B5D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5. Нарушение привил устройства и эксплуатации транспортных средств – 5 (3%).</w:t>
      </w:r>
    </w:p>
    <w:p w:rsidR="00226007" w:rsidRDefault="00967B5D" w:rsidP="00967B5D">
      <w:pPr>
        <w:shd w:val="clear" w:color="auto" w:fill="FFFFFF"/>
        <w:ind w:firstLine="709"/>
        <w:jc w:val="both"/>
        <w:rPr>
          <w:sz w:val="28"/>
          <w:szCs w:val="28"/>
        </w:rPr>
      </w:pPr>
      <w:r w:rsidRPr="00967B5D">
        <w:rPr>
          <w:sz w:val="28"/>
          <w:szCs w:val="28"/>
        </w:rPr>
        <w:t>6. Иные причины – 4 (3%).</w:t>
      </w:r>
    </w:p>
    <w:p w:rsidR="00D5163E" w:rsidRDefault="00581C4F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274BDB" w:rsidRDefault="00274BDB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F44CF" w:rsidRDefault="00967B5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C5E11B" wp14:editId="2C42F910">
            <wp:extent cx="6449695" cy="2941608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lastRenderedPageBreak/>
        <w:t xml:space="preserve">5. Обстановка с пожарами и их последствиями </w:t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в зданиях и сооружениях</w:t>
      </w: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122582" w:rsidRDefault="00122582" w:rsidP="00750E81">
      <w:pPr>
        <w:shd w:val="clear" w:color="auto" w:fill="FFFFFF"/>
        <w:jc w:val="center"/>
        <w:rPr>
          <w:noProof/>
        </w:rPr>
      </w:pPr>
    </w:p>
    <w:p w:rsidR="00897728" w:rsidRDefault="00967B5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B66B97" wp14:editId="0DA801C7">
            <wp:extent cx="6384966" cy="3497646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07BCC" w:rsidRDefault="00807BCC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07BCC" w:rsidRDefault="00807BCC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301CE" w:rsidRDefault="001301CE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7F4439" wp14:editId="786674B7">
            <wp:extent cx="6286500" cy="3728358"/>
            <wp:effectExtent l="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C0B75" w:rsidRDefault="00EC0B75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F6B7B" w:rsidRPr="00E86613" w:rsidRDefault="005F6B7B" w:rsidP="00750E81">
      <w:pPr>
        <w:shd w:val="clear" w:color="auto" w:fill="FFFFFF" w:themeFill="background1"/>
        <w:ind w:firstLine="567"/>
        <w:jc w:val="both"/>
        <w:rPr>
          <w:sz w:val="14"/>
          <w:szCs w:val="14"/>
        </w:rPr>
      </w:pPr>
    </w:p>
    <w:p w:rsidR="002B72D0" w:rsidRPr="000263AE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1. Неосторожное обращение с огнем – 111 пожаров (33% от общего количества пожаров в зданиях и сооружениях), в том числе: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неосторожное обращение с огнем при курении – 45 (13%);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детская шалость – 0 (0%);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2. Нарушение правил устройства и эксплуатации электрооборудования – 133 (39%).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3. Нарушение правил устройства и эксплуатации печного оборудования – 65 (19%).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4. Поджог – 15 (4%).</w:t>
      </w:r>
    </w:p>
    <w:p w:rsidR="00122582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5. Иные причины – 13 (4%).</w:t>
      </w:r>
    </w:p>
    <w:p w:rsidR="00D5163E" w:rsidRDefault="00D5163E" w:rsidP="00750E81">
      <w:pPr>
        <w:ind w:firstLine="709"/>
        <w:jc w:val="both"/>
        <w:rPr>
          <w:sz w:val="28"/>
          <w:szCs w:val="28"/>
        </w:rPr>
      </w:pP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28"/>
        </w:rPr>
      </w:pPr>
    </w:p>
    <w:p w:rsidR="00F045C1" w:rsidRDefault="001301CE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>
        <w:rPr>
          <w:noProof/>
        </w:rPr>
        <w:drawing>
          <wp:inline distT="0" distB="0" distL="0" distR="0" wp14:anchorId="7AF95190" wp14:editId="502B5292">
            <wp:extent cx="6424187" cy="3414344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97728" w:rsidRDefault="00897728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Наибольшее количество пожаров данной категории произошло в одноквартирных жилых домах 79 пожаров (31% от общего количества пожаров данной категории), на которых погибло 12 человек (43%), в том числе 2 несовершеннолетних (100%), получили травмы 2 человека (10%).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В многоквартирных жилых домах  произошло 72 пожара (28%), на которых погибло 13 человек (46%), гибели детей не допущено, получили травмы 16 человек (80%).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104 пожара (41%), на которых погибло 3 человека (11%), гибели детей не допущено, получили травмы 2 человека (10%).</w:t>
      </w:r>
    </w:p>
    <w:p w:rsidR="001301CE" w:rsidRDefault="001301CE" w:rsidP="001301CE">
      <w:pPr>
        <w:ind w:firstLine="709"/>
        <w:jc w:val="both"/>
        <w:rPr>
          <w:sz w:val="28"/>
          <w:szCs w:val="28"/>
        </w:rPr>
      </w:pPr>
    </w:p>
    <w:p w:rsidR="00807BCC" w:rsidRPr="001301CE" w:rsidRDefault="00807BCC" w:rsidP="001301CE">
      <w:pPr>
        <w:ind w:firstLine="709"/>
        <w:jc w:val="both"/>
        <w:rPr>
          <w:sz w:val="28"/>
          <w:szCs w:val="28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lastRenderedPageBreak/>
        <w:t>Распределение пожаров по основным причинам в зданиях жилого назначения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1. Неосторожное обращение с огнем – 63 пожара (25% от общего количества пожаров в зданиях жилого назначения), в том числе: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неосторожное обращение с огнем при курении – 31 (12%);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детская шалость – 0 (0%);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2. Нарушение правил устройства и эксплуатации электрооборудования – 111 (44%).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3. Нарушение правил устройства и эксплуатации печного оборудования – 60 (24%).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4. Поджог – 12 (5%).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5. Иные причины – 91 (36%).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6. Обстановка с пожарами и их последствиями на открытых территориях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На открытых территориях (мусор, трава и т.п.)  произошло 92 пожара (АППГ - 96, снижение на 4%), на которых погибших не допущено (стабильно), </w:t>
      </w:r>
      <w:proofErr w:type="spellStart"/>
      <w:r w:rsidRPr="001301CE">
        <w:rPr>
          <w:sz w:val="28"/>
          <w:szCs w:val="28"/>
        </w:rPr>
        <w:t>травмирования</w:t>
      </w:r>
      <w:proofErr w:type="spellEnd"/>
      <w:r w:rsidRPr="001301CE">
        <w:rPr>
          <w:sz w:val="28"/>
          <w:szCs w:val="28"/>
        </w:rPr>
        <w:t xml:space="preserve"> людей не допущено (стабильно), 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Распределение по объектам пожаров на открытых территориях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1. Бытовые отходы (в том числе в контейнерах и баках) – 48 пожаров (52% от общего количества пожаров на открытых территориях);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2. Горение сухой растительности (травы, стерня, пожнивные остатки) – 0 пожаров (0%);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3. На иных объектах – 44 (48%).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Распределение по основным причинам пожаров на открытых территориях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1. Неосторожное обращение с огнем – 81 пожар (88% от общего количества пожаров в зданиях жилого назначения), в том числе: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неосторожное обращение с огнем при курении – 19 (21%);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 xml:space="preserve"> - детская шалость – 1 (1%);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2. Нарушение правил устройства и эксплуатации электрооборудования – 0 (0%).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3. Нарушение правил устройства и эксплуатации печного оборудования – 0 (0%).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4. Поджог – 1 (1%).</w:t>
      </w:r>
    </w:p>
    <w:p w:rsidR="001301CE" w:rsidRPr="001301C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D5163E" w:rsidRDefault="001301CE" w:rsidP="001301CE">
      <w:pPr>
        <w:ind w:firstLine="709"/>
        <w:jc w:val="both"/>
        <w:rPr>
          <w:sz w:val="28"/>
          <w:szCs w:val="28"/>
        </w:rPr>
      </w:pPr>
      <w:r w:rsidRPr="001301CE">
        <w:rPr>
          <w:sz w:val="28"/>
          <w:szCs w:val="28"/>
        </w:rPr>
        <w:t>6. Иные причины – 10 (11%).</w:t>
      </w:r>
    </w:p>
    <w:p w:rsidR="00A32414" w:rsidRDefault="00A32414" w:rsidP="00750E81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C32110" w:rsidRDefault="005F0284" w:rsidP="00750E81">
      <w:pPr>
        <w:shd w:val="clear" w:color="auto" w:fill="FFFFFF"/>
        <w:jc w:val="center"/>
        <w:rPr>
          <w:b/>
          <w:bCs/>
        </w:rPr>
      </w:pPr>
      <w:r w:rsidRPr="00C32110"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5F0284" w:rsidRPr="00C32110" w:rsidRDefault="005F0284" w:rsidP="00750E81">
      <w:pPr>
        <w:shd w:val="clear" w:color="auto" w:fill="FFFFFF"/>
        <w:ind w:left="-142"/>
        <w:jc w:val="center"/>
        <w:rPr>
          <w:b/>
          <w:bCs/>
        </w:rPr>
      </w:pPr>
      <w:r w:rsidRPr="00C32110">
        <w:rPr>
          <w:b/>
          <w:bCs/>
        </w:rPr>
        <w:t xml:space="preserve">и их последствиями в </w:t>
      </w:r>
      <w:r w:rsidR="008150ED" w:rsidRPr="00C32110">
        <w:rPr>
          <w:b/>
          <w:bCs/>
        </w:rPr>
        <w:t>муниципальных образованиях Свердловской области</w:t>
      </w:r>
    </w:p>
    <w:p w:rsidR="00C32110" w:rsidRDefault="00AF04CB" w:rsidP="00750E81">
      <w:pPr>
        <w:ind w:firstLine="709"/>
        <w:jc w:val="both"/>
      </w:pPr>
      <w:r w:rsidRPr="00C32110">
        <w:t xml:space="preserve">В </w:t>
      </w:r>
      <w:r w:rsidR="001301CE">
        <w:t>19</w:t>
      </w:r>
      <w:r w:rsidR="000C194D">
        <w:t xml:space="preserve"> муниципальных образованиях</w:t>
      </w:r>
      <w:r w:rsidRPr="00C32110">
        <w:t xml:space="preserve"> Свердловской области отмечается рост количества пожаров.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2018"/>
        <w:gridCol w:w="2015"/>
      </w:tblGrid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center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</w:p>
        </w:tc>
        <w:tc>
          <w:tcPr>
            <w:tcW w:w="968" w:type="pct"/>
            <w:shd w:val="clear" w:color="auto" w:fill="auto"/>
            <w:noWrap/>
            <w:hideMark/>
          </w:tcPr>
          <w:p w:rsidR="001301CE" w:rsidRPr="00807BCC" w:rsidRDefault="001301CE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:rsidR="001301CE" w:rsidRPr="00807BCC" w:rsidRDefault="001301CE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2022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Талицкий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8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14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Белоярский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9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13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Нижнесергинский МР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7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10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Невьянский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8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10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Сухой Лог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9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Нижнетуринский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5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9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Артинский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4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Верхотурский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Верхнесалдинский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5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Качканарский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 xml:space="preserve">МО </w:t>
            </w:r>
            <w:proofErr w:type="spellStart"/>
            <w:r w:rsidRPr="00807BCC">
              <w:rPr>
                <w:color w:val="000000" w:themeColor="text1"/>
              </w:rPr>
              <w:t>Алапаевское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5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Пышминский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4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 xml:space="preserve">МО </w:t>
            </w:r>
            <w:proofErr w:type="spellStart"/>
            <w:r w:rsidRPr="00807BCC">
              <w:rPr>
                <w:color w:val="000000" w:themeColor="text1"/>
              </w:rPr>
              <w:t>Камышловский</w:t>
            </w:r>
            <w:proofErr w:type="spellEnd"/>
            <w:r w:rsidRPr="00807BCC">
              <w:rPr>
                <w:color w:val="000000" w:themeColor="text1"/>
              </w:rPr>
              <w:t xml:space="preserve"> МР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4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Бисертский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Красноуральск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Верх-Нейвинский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Махневское</w:t>
            </w:r>
            <w:proofErr w:type="spellEnd"/>
            <w:r w:rsidRPr="00807BCC">
              <w:rPr>
                <w:color w:val="000000" w:themeColor="text1"/>
              </w:rPr>
              <w:t xml:space="preserve"> МО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Малышевский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 xml:space="preserve">ГО </w:t>
            </w:r>
            <w:proofErr w:type="spellStart"/>
            <w:r w:rsidRPr="00807BCC">
              <w:rPr>
                <w:color w:val="000000" w:themeColor="text1"/>
              </w:rPr>
              <w:t>Рефтинский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1301CE" w:rsidRPr="00807BCC" w:rsidRDefault="001301CE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</w:tr>
    </w:tbl>
    <w:p w:rsidR="00C32110" w:rsidRPr="00C32110" w:rsidRDefault="00C32110" w:rsidP="00D5163E">
      <w:pPr>
        <w:jc w:val="both"/>
      </w:pPr>
    </w:p>
    <w:p w:rsidR="005F0284" w:rsidRPr="00D5163E" w:rsidRDefault="00AF04CB" w:rsidP="00750E81">
      <w:pPr>
        <w:ind w:firstLine="709"/>
        <w:jc w:val="both"/>
      </w:pPr>
      <w:r w:rsidRPr="00D5163E">
        <w:t xml:space="preserve">В </w:t>
      </w:r>
      <w:r w:rsidR="001301CE">
        <w:t>6</w:t>
      </w:r>
      <w:r w:rsidRPr="00D5163E">
        <w:t xml:space="preserve"> муниципальных образованиях Свердловской области зарегистрировано увеличение количества погибших на пожарах людей.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2978"/>
        <w:gridCol w:w="2643"/>
      </w:tblGrid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center"/>
            <w:hideMark/>
          </w:tcPr>
          <w:p w:rsidR="00807BCC" w:rsidRPr="00807BCC" w:rsidRDefault="00807B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2021</w:t>
            </w:r>
          </w:p>
        </w:tc>
        <w:tc>
          <w:tcPr>
            <w:tcW w:w="1268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2022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Верхотурский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Первоуральск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Артёмовский ГО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ГО Заречный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proofErr w:type="spellStart"/>
            <w:r w:rsidRPr="00807BCC">
              <w:rPr>
                <w:color w:val="000000" w:themeColor="text1"/>
              </w:rPr>
              <w:t>Новолялинский</w:t>
            </w:r>
            <w:proofErr w:type="spellEnd"/>
            <w:r w:rsidRPr="00807BCC">
              <w:rPr>
                <w:color w:val="000000" w:themeColor="text1"/>
              </w:rPr>
              <w:t xml:space="preserve"> ГО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303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Нижнесергинский МР</w:t>
            </w:r>
          </w:p>
        </w:tc>
        <w:tc>
          <w:tcPr>
            <w:tcW w:w="1429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0</w:t>
            </w:r>
          </w:p>
        </w:tc>
        <w:tc>
          <w:tcPr>
            <w:tcW w:w="1268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</w:tr>
    </w:tbl>
    <w:p w:rsidR="00274BDB" w:rsidRDefault="00274BDB" w:rsidP="00750E81">
      <w:pPr>
        <w:ind w:firstLine="709"/>
        <w:jc w:val="both"/>
      </w:pPr>
    </w:p>
    <w:p w:rsidR="005F6B7B" w:rsidRPr="00D5163E" w:rsidRDefault="00C33604" w:rsidP="00750E81">
      <w:pPr>
        <w:ind w:firstLine="709"/>
        <w:jc w:val="both"/>
        <w:rPr>
          <w:bCs/>
        </w:rPr>
      </w:pPr>
      <w:r w:rsidRPr="00D5163E">
        <w:t xml:space="preserve">В </w:t>
      </w:r>
      <w:r w:rsidR="001301CE">
        <w:t>1 муниципальном образовании</w:t>
      </w:r>
      <w:r w:rsidR="00AF04CB" w:rsidRPr="00D5163E">
        <w:t xml:space="preserve"> Свердловской области зарегистрировано увеличение количества погибших на пожарах детей.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3"/>
        <w:gridCol w:w="2814"/>
        <w:gridCol w:w="2814"/>
      </w:tblGrid>
      <w:tr w:rsidR="00807BCC" w:rsidRPr="00807BCC" w:rsidTr="00807BCC">
        <w:trPr>
          <w:trHeight w:val="37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МО город Екатеринбург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  <w:rPr>
                <w:color w:val="000000" w:themeColor="text1"/>
              </w:rPr>
            </w:pPr>
            <w:r w:rsidRPr="00807BCC">
              <w:rPr>
                <w:color w:val="000000" w:themeColor="text1"/>
              </w:rPr>
              <w:t>2</w:t>
            </w:r>
          </w:p>
        </w:tc>
      </w:tr>
    </w:tbl>
    <w:p w:rsidR="00807BCC" w:rsidRDefault="00807BCC" w:rsidP="00750E81">
      <w:pPr>
        <w:shd w:val="clear" w:color="auto" w:fill="FFFFFF"/>
        <w:jc w:val="center"/>
        <w:rPr>
          <w:sz w:val="28"/>
          <w:szCs w:val="28"/>
        </w:rPr>
      </w:pPr>
    </w:p>
    <w:p w:rsidR="00FE2CAD" w:rsidRDefault="00AF04CB" w:rsidP="00750E81">
      <w:pPr>
        <w:ind w:firstLine="709"/>
        <w:jc w:val="both"/>
      </w:pPr>
      <w:r w:rsidRPr="00C32110">
        <w:t xml:space="preserve">В </w:t>
      </w:r>
      <w:r w:rsidR="002E015E">
        <w:t>2</w:t>
      </w:r>
      <w:r w:rsidR="001301CE">
        <w:t>1</w:t>
      </w:r>
      <w:r w:rsidRPr="00C32110">
        <w:t xml:space="preserve"> муниципальных образованиях Свердловской области зарегистрировано увеличение количества пожаров в зданиях, сооружениях.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5"/>
        <w:gridCol w:w="2209"/>
        <w:gridCol w:w="2207"/>
      </w:tblGrid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center"/>
            <w:hideMark/>
          </w:tcPr>
          <w:p w:rsidR="00807BCC" w:rsidRPr="00807BCC" w:rsidRDefault="00807BCC"/>
        </w:tc>
        <w:tc>
          <w:tcPr>
            <w:tcW w:w="1060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</w:rPr>
            </w:pPr>
            <w:r w:rsidRPr="00807BCC">
              <w:rPr>
                <w:b/>
                <w:bCs/>
              </w:rPr>
              <w:t>2021</w:t>
            </w:r>
          </w:p>
        </w:tc>
        <w:tc>
          <w:tcPr>
            <w:tcW w:w="1060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</w:rPr>
            </w:pPr>
            <w:r w:rsidRPr="00807BCC">
              <w:rPr>
                <w:b/>
                <w:bCs/>
              </w:rPr>
              <w:t>2022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lastRenderedPageBreak/>
              <w:t>МО город Нижний Тагил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Белоярский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8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Талицкий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8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Нижнетуринский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9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Нижнесергинский МР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6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9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Первоуральск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7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8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Сухой Лог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7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Невьянский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7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Артинский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Верхнесалдинский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Качканарский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Верхотурский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Ревда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Богданович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Пышминский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Бисертский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Верх-Нейвинский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Красноуральск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Малышевский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Сосьвинский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 xml:space="preserve">ГО </w:t>
            </w:r>
            <w:proofErr w:type="spellStart"/>
            <w:r w:rsidRPr="00807BCC">
              <w:t>Рефтинский</w:t>
            </w:r>
            <w:proofErr w:type="spellEnd"/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</w:tbl>
    <w:p w:rsidR="002E015E" w:rsidRPr="00C32110" w:rsidRDefault="002E015E" w:rsidP="00274BDB">
      <w:pPr>
        <w:jc w:val="both"/>
      </w:pPr>
    </w:p>
    <w:p w:rsidR="008551C6" w:rsidRDefault="008551C6" w:rsidP="00750E81">
      <w:pPr>
        <w:ind w:firstLine="709"/>
        <w:jc w:val="both"/>
      </w:pPr>
      <w:r w:rsidRPr="00C32110">
        <w:t xml:space="preserve">В </w:t>
      </w:r>
      <w:r w:rsidR="001301CE">
        <w:t>18</w:t>
      </w:r>
      <w:r w:rsidRPr="00C32110">
        <w:t xml:space="preserve"> муниципальн</w:t>
      </w:r>
      <w:r w:rsidR="003A6165">
        <w:t>ых</w:t>
      </w:r>
      <w:r w:rsidRPr="00C32110">
        <w:t xml:space="preserve"> образовани</w:t>
      </w:r>
      <w:r w:rsidR="003A6165">
        <w:t>ях</w:t>
      </w:r>
      <w:r w:rsidRPr="00C32110">
        <w:t xml:space="preserve"> Свердловской области зарегистрировано увеличение количества пожаров на открытых территориях.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5"/>
        <w:gridCol w:w="2209"/>
        <w:gridCol w:w="2207"/>
      </w:tblGrid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center"/>
            <w:hideMark/>
          </w:tcPr>
          <w:p w:rsidR="00807BCC" w:rsidRPr="00807BCC" w:rsidRDefault="00807BCC"/>
        </w:tc>
        <w:tc>
          <w:tcPr>
            <w:tcW w:w="1060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</w:rPr>
            </w:pPr>
            <w:r w:rsidRPr="00807BCC">
              <w:rPr>
                <w:b/>
                <w:bCs/>
              </w:rPr>
              <w:t>2021</w:t>
            </w:r>
          </w:p>
        </w:tc>
        <w:tc>
          <w:tcPr>
            <w:tcW w:w="1060" w:type="pct"/>
            <w:shd w:val="clear" w:color="auto" w:fill="auto"/>
            <w:noWrap/>
            <w:hideMark/>
          </w:tcPr>
          <w:p w:rsidR="00807BCC" w:rsidRPr="00807BCC" w:rsidRDefault="00807BCC">
            <w:pPr>
              <w:jc w:val="center"/>
              <w:rPr>
                <w:b/>
                <w:bCs/>
              </w:rPr>
            </w:pPr>
            <w:r w:rsidRPr="00807BCC">
              <w:rPr>
                <w:b/>
                <w:bCs/>
              </w:rPr>
              <w:t>2022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МО город Нижний Тагил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6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Верхняя Пышма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5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 xml:space="preserve">МО </w:t>
            </w:r>
            <w:proofErr w:type="spellStart"/>
            <w:r w:rsidRPr="00807BCC">
              <w:t>Алапаевское</w:t>
            </w:r>
            <w:proofErr w:type="spellEnd"/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4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Талицкий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Арамильский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Невьянский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3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Махневское</w:t>
            </w:r>
            <w:proofErr w:type="spellEnd"/>
            <w:r w:rsidRPr="00807BCC">
              <w:t xml:space="preserve"> МО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Тавдинский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Туринский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Сухой Лог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Каменский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Серовский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2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Верхнее Дуброво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Слободо</w:t>
            </w:r>
            <w:proofErr w:type="spellEnd"/>
            <w:r w:rsidRPr="00807BCC">
              <w:t>-Туринский МР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lastRenderedPageBreak/>
              <w:t>Качканарский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Среднеуральск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roofErr w:type="spellStart"/>
            <w:r w:rsidRPr="00807BCC">
              <w:t>Асбестовский</w:t>
            </w:r>
            <w:proofErr w:type="spellEnd"/>
            <w:r w:rsidRPr="00807BCC">
              <w:t xml:space="preserve"> ГО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  <w:tr w:rsidR="00807BCC" w:rsidRPr="00807BCC" w:rsidTr="00807BCC">
        <w:trPr>
          <w:trHeight w:val="375"/>
        </w:trPr>
        <w:tc>
          <w:tcPr>
            <w:tcW w:w="2881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r w:rsidRPr="00807BCC">
              <w:t>ГО Ревда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0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807BCC" w:rsidRPr="00807BCC" w:rsidRDefault="00807BCC">
            <w:pPr>
              <w:jc w:val="center"/>
            </w:pPr>
            <w:r w:rsidRPr="00807BCC">
              <w:t>1</w:t>
            </w:r>
          </w:p>
        </w:tc>
      </w:tr>
    </w:tbl>
    <w:p w:rsidR="00274BDB" w:rsidRPr="00C32110" w:rsidRDefault="00274BDB" w:rsidP="00274BDB">
      <w:pPr>
        <w:jc w:val="both"/>
        <w:rPr>
          <w:bCs/>
        </w:rPr>
      </w:pPr>
    </w:p>
    <w:p w:rsidR="00CB7B27" w:rsidRPr="004674A2" w:rsidRDefault="00CB7B27" w:rsidP="00CB7B27">
      <w:pPr>
        <w:jc w:val="center"/>
        <w:rPr>
          <w:b/>
          <w:sz w:val="28"/>
          <w:szCs w:val="28"/>
        </w:rPr>
      </w:pPr>
      <w:r w:rsidRPr="004674A2">
        <w:rPr>
          <w:b/>
          <w:sz w:val="28"/>
          <w:szCs w:val="28"/>
        </w:rPr>
        <w:t>Обстановка с пожарами с гибелью детей</w:t>
      </w:r>
    </w:p>
    <w:p w:rsidR="00CB7B27" w:rsidRPr="004674A2" w:rsidRDefault="00CB7B27" w:rsidP="00CB7B27">
      <w:pPr>
        <w:jc w:val="center"/>
        <w:rPr>
          <w:b/>
          <w:sz w:val="28"/>
          <w:szCs w:val="28"/>
        </w:rPr>
      </w:pPr>
      <w:r w:rsidRPr="004674A2">
        <w:rPr>
          <w:b/>
          <w:sz w:val="28"/>
          <w:szCs w:val="28"/>
        </w:rPr>
        <w:t>в Свердловской области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На территории Свердловской области за 1 месяц 2022 произошёл 1 пожар с гибелью детей, стабильно в сравнении с аналогичным периодом прошлого года (АППГ) (2021 - 1 пожар). С травмами детей Травм детей не допущено0снижение в сравнении с АППГ (2021 - 3 пожара). </w:t>
      </w:r>
    </w:p>
    <w:p w:rsidR="00CB7B27" w:rsidRPr="00CB7B27" w:rsidRDefault="00CB7B27" w:rsidP="00CB7B27">
      <w:pPr>
        <w:ind w:firstLine="709"/>
        <w:jc w:val="both"/>
      </w:pPr>
      <w:r w:rsidRPr="00CB7B27">
        <w:t>При пожарах погибло 2 ребёнка, увеличение в 2 раза (2021 - 1 ребёнок). Травмированния детей не допущено 0 снижение (2021 - 6 детей).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За указанный период дошкольного возраста (до 7 лет) погибло 2 ребёнка (100% от общего количества) и с 7 до 11 лет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Погибших мальчиков нет, девочек 2 ребёнка. Травмированных мальчиков </w:t>
      </w:r>
      <w:proofErr w:type="gramStart"/>
      <w:r w:rsidRPr="00CB7B27">
        <w:t>нет травмированных девочек нет</w:t>
      </w:r>
      <w:proofErr w:type="gramEnd"/>
      <w:r w:rsidRPr="00CB7B27">
        <w:t xml:space="preserve">.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Распределение по возрасту виновников пожаров с гибелью и травмами детей: по вине детей до 7 лет погибших и травмированных нет, по вине детей 7-11 лет погибших и травмированных нет, по вине детей 11-18 лет погибших и травмированных нет, по вине людей старше 18 лет погибших и травмированных нет. Виновное лицо не установлено – погибло 2 ребёнка (100%), травмированных нет; Виновное лицо не усматривается – погибших и травмированных нет,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Распределение по местам возникновения: в зданиях жилого назначения и надворных постройках - погибло 2 ребёнка (100%),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В одноэтажных зданиях погибло 2 ребёнка (100% от общего количества), в двухэтажных зданиях погибших и травмированных детей нет; в зданиях от трех этажей и выше погибших и травмированных детей нет. Вне здания двухэтажных </w:t>
      </w:r>
      <w:proofErr w:type="gramStart"/>
      <w:r w:rsidRPr="00CB7B27">
        <w:t>зданиях</w:t>
      </w:r>
      <w:proofErr w:type="gramEnd"/>
      <w:r w:rsidRPr="00CB7B27">
        <w:t xml:space="preserve"> погибших и травмированных детей нет.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В зданиях пятой степени огнестойкости погибших и травмированных детей нет; в зданиях третей и четвертой степени огнестойкости погибло 2 ребёнка (100%), в зданиях первой и второй степени огнестойкости погибших и травмированных детей нет. Вне здания погибших и травмированных детей нет;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Причины гибели и травм детей: неосторожное обращение с огнем – погибло 2 ребёнка (100% от общего количества),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В городах погибло 2 ребёнка (100% от общего количества), </w:t>
      </w:r>
    </w:p>
    <w:p w:rsidR="00CB7B27" w:rsidRPr="00CB7B27" w:rsidRDefault="00CB7B27" w:rsidP="00CB7B27">
      <w:pPr>
        <w:ind w:firstLine="709"/>
        <w:jc w:val="both"/>
      </w:pPr>
      <w:r w:rsidRPr="00CB7B27">
        <w:t xml:space="preserve">Распределение по времени: в рабочее время (с 08.00 до 18.00) – погибло 2 ребёнка (100% от общего количества), </w:t>
      </w:r>
    </w:p>
    <w:p w:rsidR="00CB7B27" w:rsidRPr="00CB7B27" w:rsidRDefault="00CB7B27" w:rsidP="00CB7B27">
      <w:pPr>
        <w:ind w:firstLine="709"/>
        <w:jc w:val="both"/>
        <w:rPr>
          <w:b/>
          <w:bCs/>
          <w:sz w:val="28"/>
          <w:szCs w:val="28"/>
        </w:rPr>
      </w:pPr>
      <w:r w:rsidRPr="00CB7B27">
        <w:t>Распределение по дням недели: в воскресенье - погибло 2 ребёнка (100%),</w:t>
      </w:r>
    </w:p>
    <w:p w:rsidR="00CB7B27" w:rsidRPr="00CB7B27" w:rsidRDefault="00CB7B27" w:rsidP="00CB7B27">
      <w:pPr>
        <w:spacing w:before="120"/>
        <w:jc w:val="center"/>
        <w:rPr>
          <w:b/>
          <w:bCs/>
          <w:sz w:val="28"/>
          <w:szCs w:val="28"/>
        </w:rPr>
      </w:pPr>
      <w:r w:rsidRPr="00CB7B27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2"/>
        <w:gridCol w:w="1019"/>
        <w:gridCol w:w="1019"/>
        <w:gridCol w:w="880"/>
        <w:gridCol w:w="1228"/>
        <w:gridCol w:w="1228"/>
        <w:gridCol w:w="1205"/>
      </w:tblGrid>
      <w:tr w:rsidR="00CB7B27" w:rsidRPr="00CB7B27" w:rsidTr="0046063C">
        <w:trPr>
          <w:trHeight w:val="285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CB7B27" w:rsidRPr="00CB7B27" w:rsidTr="0046063C">
        <w:trPr>
          <w:trHeight w:val="285"/>
        </w:trPr>
        <w:tc>
          <w:tcPr>
            <w:tcW w:w="1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7B27" w:rsidRPr="00CB7B27" w:rsidTr="0046063C">
        <w:trPr>
          <w:trHeight w:val="315"/>
        </w:trPr>
        <w:tc>
          <w:tcPr>
            <w:tcW w:w="1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both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</w:rPr>
            </w:pPr>
            <w:proofErr w:type="spellStart"/>
            <w:r w:rsidRPr="00CB7B27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</w:rPr>
            </w:pPr>
            <w:proofErr w:type="spellStart"/>
            <w:r w:rsidRPr="00CB7B27">
              <w:rPr>
                <w:b/>
                <w:bCs/>
              </w:rPr>
              <w:t>ув</w:t>
            </w:r>
            <w:proofErr w:type="spellEnd"/>
            <w:r w:rsidRPr="00CB7B27">
              <w:rPr>
                <w:b/>
                <w:bCs/>
              </w:rPr>
              <w:t xml:space="preserve"> в 2</w:t>
            </w:r>
          </w:p>
        </w:tc>
      </w:tr>
      <w:tr w:rsidR="00CB7B27" w:rsidRPr="00CB7B27" w:rsidTr="0046063C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МО город Екатеринбург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стаб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ув</w:t>
            </w:r>
            <w:proofErr w:type="spellEnd"/>
            <w:r w:rsidRPr="00CB7B27">
              <w:t xml:space="preserve"> в 2</w:t>
            </w:r>
          </w:p>
        </w:tc>
      </w:tr>
    </w:tbl>
    <w:p w:rsidR="00CB7B27" w:rsidRPr="00CB7B27" w:rsidRDefault="00CB7B27" w:rsidP="00CB7B27">
      <w:pPr>
        <w:spacing w:before="120"/>
        <w:jc w:val="center"/>
        <w:rPr>
          <w:b/>
          <w:bCs/>
          <w:sz w:val="28"/>
          <w:szCs w:val="28"/>
        </w:rPr>
      </w:pPr>
      <w:r w:rsidRPr="00CB7B27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3"/>
        <w:gridCol w:w="882"/>
        <w:gridCol w:w="857"/>
        <w:gridCol w:w="1088"/>
        <w:gridCol w:w="1273"/>
        <w:gridCol w:w="1205"/>
        <w:gridCol w:w="1273"/>
      </w:tblGrid>
      <w:tr w:rsidR="00CB7B27" w:rsidRPr="00CB7B27" w:rsidTr="0046063C">
        <w:trPr>
          <w:trHeight w:val="525"/>
        </w:trPr>
        <w:tc>
          <w:tcPr>
            <w:tcW w:w="1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CB7B27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CB7B27" w:rsidRPr="00CB7B27" w:rsidTr="0046063C">
        <w:trPr>
          <w:trHeight w:val="285"/>
        </w:trPr>
        <w:tc>
          <w:tcPr>
            <w:tcW w:w="1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7" w:rsidRPr="00CB7B27" w:rsidRDefault="00CB7B27" w:rsidP="00CB7B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7B27" w:rsidRPr="00CB7B27" w:rsidTr="0046063C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both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</w:rPr>
            </w:pPr>
            <w:proofErr w:type="spellStart"/>
            <w:r w:rsidRPr="00CB7B27">
              <w:rPr>
                <w:b/>
                <w:bCs/>
              </w:rPr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B7B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B7B27" w:rsidRPr="00CB7B27" w:rsidRDefault="00CB7B27" w:rsidP="00CB7B27">
            <w:pPr>
              <w:jc w:val="center"/>
              <w:rPr>
                <w:b/>
                <w:bCs/>
              </w:rPr>
            </w:pPr>
            <w:proofErr w:type="spellStart"/>
            <w:r w:rsidRPr="00CB7B27">
              <w:rPr>
                <w:b/>
                <w:bCs/>
              </w:rPr>
              <w:t>сн</w:t>
            </w:r>
            <w:proofErr w:type="spellEnd"/>
          </w:p>
        </w:tc>
      </w:tr>
      <w:tr w:rsidR="00CB7B27" w:rsidRPr="00CB7B27" w:rsidTr="0046063C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МО город Екатеринбург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color w:val="FFFFFF"/>
              </w:rPr>
            </w:pPr>
            <w:r w:rsidRPr="00CB7B27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сн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color w:val="FFFFFF"/>
              </w:rPr>
            </w:pPr>
            <w:r w:rsidRPr="00CB7B27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сн</w:t>
            </w:r>
            <w:proofErr w:type="spellEnd"/>
          </w:p>
        </w:tc>
      </w:tr>
      <w:tr w:rsidR="00CB7B27" w:rsidRPr="00CB7B27" w:rsidTr="0046063C">
        <w:trPr>
          <w:trHeight w:val="315"/>
        </w:trPr>
        <w:tc>
          <w:tcPr>
            <w:tcW w:w="1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ГО Красноуфимск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color w:val="FFFFFF"/>
              </w:rPr>
            </w:pPr>
            <w:r w:rsidRPr="00CB7B27">
              <w:rPr>
                <w:color w:val="FFFFFF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сн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</w:pPr>
            <w:r w:rsidRPr="00CB7B27"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27" w:rsidRPr="00CB7B27" w:rsidRDefault="00CB7B27" w:rsidP="00CB7B27">
            <w:pPr>
              <w:jc w:val="center"/>
              <w:rPr>
                <w:color w:val="FFFFFF"/>
              </w:rPr>
            </w:pPr>
            <w:r w:rsidRPr="00CB7B27">
              <w:rPr>
                <w:color w:val="FFFFFF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B27" w:rsidRPr="00CB7B27" w:rsidRDefault="00CB7B27" w:rsidP="00CB7B27">
            <w:pPr>
              <w:jc w:val="center"/>
            </w:pPr>
            <w:proofErr w:type="spellStart"/>
            <w:r w:rsidRPr="00CB7B27">
              <w:t>сн</w:t>
            </w:r>
            <w:proofErr w:type="spellEnd"/>
          </w:p>
        </w:tc>
      </w:tr>
    </w:tbl>
    <w:p w:rsidR="004674A2" w:rsidRDefault="004674A2" w:rsidP="0046063C">
      <w:pPr>
        <w:shd w:val="clear" w:color="auto" w:fill="FFFFFF" w:themeFill="background1"/>
        <w:jc w:val="center"/>
        <w:rPr>
          <w:b/>
          <w:color w:val="000000"/>
        </w:rPr>
      </w:pPr>
    </w:p>
    <w:p w:rsidR="0046063C" w:rsidRPr="004674A2" w:rsidRDefault="0046063C" w:rsidP="0046063C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lastRenderedPageBreak/>
        <w:t>Обстановка с пожарами и их последствиями</w:t>
      </w:r>
    </w:p>
    <w:p w:rsidR="0046063C" w:rsidRPr="004674A2" w:rsidRDefault="0046063C" w:rsidP="0046063C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FB1C96" w:rsidRPr="004674A2" w:rsidRDefault="00FB1C96" w:rsidP="0046063C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на </w:t>
      </w:r>
      <w:r>
        <w:rPr>
          <w:color w:val="000000"/>
        </w:rPr>
        <w:t>04 февраля</w:t>
      </w:r>
      <w:r w:rsidRPr="00613B2E">
        <w:rPr>
          <w:color w:val="000000"/>
        </w:rPr>
        <w:t xml:space="preserve">  2022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46063C" w:rsidRPr="00613B2E" w:rsidRDefault="00817EBA" w:rsidP="0046063C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- зарегистрировано 14  пожаров (в 2021 г. – 3</w:t>
      </w:r>
      <w:r w:rsidR="0046063C" w:rsidRPr="00613B2E">
        <w:rPr>
          <w:color w:val="000000"/>
        </w:rPr>
        <w:t>7);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  1 человека (в 2021 г. – 1);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получили травмы  0 человека (в 2021 г.– 0);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 и поджоги. Проанализировав пожары по местам возникновения, видно, что большинство пожаров происходит в жилом секторе.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46063C" w:rsidRPr="00B546B8" w:rsidRDefault="0046063C" w:rsidP="0046063C">
      <w:pPr>
        <w:shd w:val="clear" w:color="auto" w:fill="FFFFFF" w:themeFill="background1"/>
        <w:jc w:val="center"/>
        <w:rPr>
          <w:b/>
          <w:i/>
          <w:color w:val="000000"/>
          <w:u w:val="single"/>
        </w:rPr>
      </w:pPr>
      <w:r w:rsidRPr="00B546B8">
        <w:rPr>
          <w:b/>
          <w:i/>
          <w:color w:val="000000"/>
          <w:u w:val="single"/>
        </w:rPr>
        <w:t>Примеры некоторых пожаров произошедших в 2022 г.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  01 января  2022 года  в 08 час. 04 мин.  на пункт связи  56 ПСЧ 6 ПСО ФПС ГПС ГУ МЧС России по Свердловской области   поступило сообщение о пожаре в жилой квартире № 3 многоквартирного дома расположенного  по адресу: Свердловская область, г. Серов, пер. Заречный, д.1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В результате пожара погибла  женщина  1953 г.р. Площадь пожара составляет 20 м 2</w:t>
      </w:r>
      <w:r w:rsidRPr="00613B2E">
        <w:t xml:space="preserve"> П</w:t>
      </w:r>
      <w:r w:rsidRPr="00613B2E">
        <w:rPr>
          <w:color w:val="000000"/>
        </w:rPr>
        <w:t>ричина пожара неосторожное обращение с огнем.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</w:p>
    <w:p w:rsidR="0046063C" w:rsidRPr="00613B2E" w:rsidRDefault="0046063C" w:rsidP="0046063C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46063C" w:rsidRDefault="0046063C" w:rsidP="0046063C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на территории Сосьвинского городского округа</w:t>
      </w:r>
    </w:p>
    <w:p w:rsidR="00FB1C96" w:rsidRPr="00613B2E" w:rsidRDefault="00FB1C96" w:rsidP="0046063C">
      <w:pPr>
        <w:shd w:val="clear" w:color="auto" w:fill="FFFFFF" w:themeFill="background1"/>
        <w:jc w:val="center"/>
        <w:rPr>
          <w:color w:val="000000"/>
        </w:rPr>
      </w:pP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</w:t>
      </w:r>
      <w:r w:rsidR="00817EBA" w:rsidRPr="00817EBA">
        <w:rPr>
          <w:color w:val="000000"/>
        </w:rPr>
        <w:t xml:space="preserve">на 04 февраля  </w:t>
      </w:r>
      <w:r w:rsidRPr="00613B2E">
        <w:rPr>
          <w:color w:val="000000"/>
        </w:rPr>
        <w:t>2022 года оперативная обстановка с пожарами на территории  Сосьвинского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- зарегистрировано – </w:t>
      </w:r>
      <w:r w:rsidR="00817EBA">
        <w:rPr>
          <w:color w:val="000000"/>
        </w:rPr>
        <w:t>1 пожар  (в 2021 г. – 4</w:t>
      </w:r>
      <w:r w:rsidRPr="00613B2E">
        <w:rPr>
          <w:color w:val="000000"/>
        </w:rPr>
        <w:t>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погибли - 0 человек (в 2021 г. –0);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получили травмы  - 0 человек (в 2021 г. – 0);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</w:p>
    <w:p w:rsidR="0046063C" w:rsidRPr="00613B2E" w:rsidRDefault="0046063C" w:rsidP="0046063C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46063C" w:rsidRDefault="0046063C" w:rsidP="0046063C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на территории Гаринского городского округа</w:t>
      </w:r>
    </w:p>
    <w:p w:rsidR="00FB1C96" w:rsidRPr="00613B2E" w:rsidRDefault="00FB1C96" w:rsidP="0046063C">
      <w:pPr>
        <w:shd w:val="clear" w:color="auto" w:fill="FFFFFF" w:themeFill="background1"/>
        <w:jc w:val="center"/>
        <w:rPr>
          <w:color w:val="000000"/>
        </w:rPr>
      </w:pP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</w:t>
      </w:r>
      <w:r w:rsidR="00817EBA" w:rsidRPr="00817EBA">
        <w:rPr>
          <w:color w:val="000000"/>
        </w:rPr>
        <w:t xml:space="preserve">на 04 февраля  </w:t>
      </w:r>
      <w:r w:rsidRPr="00613B2E">
        <w:rPr>
          <w:color w:val="000000"/>
        </w:rPr>
        <w:t>2022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зарегистрировано – 0  пожаров  (в 2021 г. –2);</w:t>
      </w:r>
    </w:p>
    <w:p w:rsidR="0046063C" w:rsidRPr="00613B2E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погибли - 0 человек (в 2021 г. – 0);</w:t>
      </w:r>
    </w:p>
    <w:p w:rsidR="0046063C" w:rsidRDefault="0046063C" w:rsidP="0046063C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получили травм</w:t>
      </w:r>
      <w:r w:rsidR="00817EBA">
        <w:rPr>
          <w:color w:val="000000"/>
        </w:rPr>
        <w:t>ы  - 0 человек (в 2021 г. – 0).</w:t>
      </w:r>
    </w:p>
    <w:p w:rsidR="00817EBA" w:rsidRPr="00613B2E" w:rsidRDefault="00817EBA" w:rsidP="0046063C">
      <w:pPr>
        <w:shd w:val="clear" w:color="auto" w:fill="FFFFFF" w:themeFill="background1"/>
        <w:jc w:val="center"/>
        <w:rPr>
          <w:color w:val="000000"/>
        </w:rPr>
      </w:pPr>
    </w:p>
    <w:p w:rsidR="0046063C" w:rsidRPr="004674A2" w:rsidRDefault="0046063C" w:rsidP="0046063C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4674A2">
        <w:rPr>
          <w:b/>
          <w:color w:val="000000"/>
          <w:sz w:val="28"/>
          <w:szCs w:val="28"/>
        </w:rPr>
        <w:t>ваших</w:t>
      </w:r>
      <w:proofErr w:type="gramEnd"/>
      <w:r w:rsidRPr="004674A2">
        <w:rPr>
          <w:b/>
          <w:color w:val="000000"/>
          <w:sz w:val="28"/>
          <w:szCs w:val="28"/>
        </w:rPr>
        <w:t xml:space="preserve"> близких!</w:t>
      </w:r>
    </w:p>
    <w:p w:rsidR="00067EC5" w:rsidRPr="004674A2" w:rsidRDefault="00067EC5" w:rsidP="00750E81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067EC5" w:rsidRPr="004674A2" w:rsidSect="00FB1C96">
      <w:headerReference w:type="default" r:id="rId22"/>
      <w:footerReference w:type="even" r:id="rId23"/>
      <w:footerReference w:type="default" r:id="rId24"/>
      <w:pgSz w:w="11906" w:h="16838" w:code="9"/>
      <w:pgMar w:top="426" w:right="567" w:bottom="567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DC" w:rsidRDefault="00F230DC">
      <w:r>
        <w:separator/>
      </w:r>
    </w:p>
  </w:endnote>
  <w:endnote w:type="continuationSeparator" w:id="0">
    <w:p w:rsidR="00F230DC" w:rsidRDefault="00F2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3C" w:rsidRDefault="0046063C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46063C" w:rsidRDefault="004606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3C" w:rsidRDefault="0046063C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DC" w:rsidRDefault="00F230DC">
      <w:r>
        <w:separator/>
      </w:r>
    </w:p>
  </w:footnote>
  <w:footnote w:type="continuationSeparator" w:id="0">
    <w:p w:rsidR="00F230DC" w:rsidRDefault="00F23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721"/>
      <w:docPartObj>
        <w:docPartGallery w:val="Page Numbers (Top of Page)"/>
        <w:docPartUnique/>
      </w:docPartObj>
    </w:sdtPr>
    <w:sdtContent>
      <w:p w:rsidR="0046063C" w:rsidRDefault="0046063C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4A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63C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4A2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EBA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B27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0DC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1C96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580</c:v>
                </c:pt>
                <c:pt idx="1">
                  <c:v>43</c:v>
                </c:pt>
                <c:pt idx="2">
                  <c:v>1</c:v>
                </c:pt>
                <c:pt idx="3">
                  <c:v>33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452</c:v>
                </c:pt>
                <c:pt idx="1">
                  <c:v>30</c:v>
                </c:pt>
                <c:pt idx="2">
                  <c:v>2</c:v>
                </c:pt>
                <c:pt idx="3">
                  <c:v>23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15259648"/>
        <c:axId val="211284480"/>
        <c:axId val="0"/>
      </c:bar3DChart>
      <c:catAx>
        <c:axId val="2152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1284480"/>
        <c:crosses val="autoZero"/>
        <c:auto val="1"/>
        <c:lblAlgn val="ctr"/>
        <c:lblOffset val="100"/>
        <c:noMultiLvlLbl val="0"/>
      </c:catAx>
      <c:valAx>
        <c:axId val="21128448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1525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988295940205949E-2"/>
          <c:y val="0.10396498802393023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9.9323760509263587E-2"/>
                  <c:y val="-8.720892234684819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4254914379672218"/>
                  <c:y val="0.4159051190920337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76098745754644215"/>
                  <c:y val="-0.3430661254624967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961550858864371E-2"/>
                  <c:y val="0.4093087293813367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05938963006"/>
                      <c:h val="0.1926213400786041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9381707197006987E-3"/>
                  <c:y val="-7.065267090990182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4892057131887129E-3"/>
                  <c:y val="0.4796573204702522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8268801858"/>
                      <c:h val="0.23471026613901241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985302896231182"/>
                  <c:y val="2.304843484949056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102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20</c:v>
                </c:pt>
                <c:pt idx="6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49933632737E-2"/>
          <c:y val="0.25004088541219927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426</c:v>
                </c:pt>
                <c:pt idx="1">
                  <c:v>42</c:v>
                </c:pt>
                <c:pt idx="2">
                  <c:v>1</c:v>
                </c:pt>
                <c:pt idx="3">
                  <c:v>31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337</c:v>
                </c:pt>
                <c:pt idx="1">
                  <c:v>29</c:v>
                </c:pt>
                <c:pt idx="2">
                  <c:v>2</c:v>
                </c:pt>
                <c:pt idx="3">
                  <c:v>23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19077120"/>
        <c:axId val="273488640"/>
        <c:axId val="0"/>
      </c:bar3DChart>
      <c:catAx>
        <c:axId val="21907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3488640"/>
        <c:crosses val="autoZero"/>
        <c:auto val="1"/>
        <c:lblAlgn val="ctr"/>
        <c:lblOffset val="100"/>
        <c:noMultiLvlLbl val="0"/>
      </c:catAx>
      <c:valAx>
        <c:axId val="27348864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1907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282"/>
          <c:y val="7.2064672017529585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692"/>
          <c:y val="0.14384159618924144"/>
          <c:w val="0.71945980951196953"/>
          <c:h val="0.67880912899119783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153195654212216"/>
                  <c:y val="0.374281982817288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30223494790421"/>
                      <c:h val="0.1710671832857887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4146618696562532"/>
                  <c:y val="0.29003453883129576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3913053070499727E-2"/>
                  <c:y val="0.2395469504681794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963876265095404E-2"/>
                  <c:y val="5.86237766252798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8.6612771526527479E-2"/>
                  <c:y val="-0.1586685376918399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635429733555856"/>
                  <c:y val="-0.1814132268007366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8.4631739110578048E-3"/>
                  <c:y val="-5.869431475009770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6551920782629427"/>
                  <c:y val="2.032531447110245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309727988546886"/>
                  <c:y val="0.2437874941156115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7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255</c:v>
                </c:pt>
                <c:pt idx="7">
                  <c:v>15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288</c:v>
                </c:pt>
                <c:pt idx="1">
                  <c:v>40</c:v>
                </c:pt>
                <c:pt idx="2">
                  <c:v>1</c:v>
                </c:pt>
                <c:pt idx="3">
                  <c:v>28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255</c:v>
                </c:pt>
                <c:pt idx="1">
                  <c:v>28</c:v>
                </c:pt>
                <c:pt idx="2">
                  <c:v>2</c:v>
                </c:pt>
                <c:pt idx="3">
                  <c:v>20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19078144"/>
        <c:axId val="219819968"/>
        <c:axId val="0"/>
      </c:bar3DChart>
      <c:catAx>
        <c:axId val="21907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819968"/>
        <c:crosses val="autoZero"/>
        <c:auto val="1"/>
        <c:lblAlgn val="ctr"/>
        <c:lblOffset val="100"/>
        <c:noMultiLvlLbl val="0"/>
      </c:catAx>
      <c:valAx>
        <c:axId val="219819968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190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3773E-2"/>
          <c:y val="0.10870866039869152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62</c:v>
                </c:pt>
                <c:pt idx="1">
                  <c:v>50</c:v>
                </c:pt>
                <c:pt idx="2">
                  <c:v>51</c:v>
                </c:pt>
                <c:pt idx="3">
                  <c:v>54</c:v>
                </c:pt>
                <c:pt idx="4">
                  <c:v>55</c:v>
                </c:pt>
                <c:pt idx="5">
                  <c:v>99</c:v>
                </c:pt>
                <c:pt idx="6">
                  <c:v>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215260160"/>
        <c:axId val="219155264"/>
      </c:barChart>
      <c:lineChart>
        <c:grouping val="standard"/>
        <c:varyColors val="0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260160"/>
        <c:axId val="219155264"/>
      </c:lineChart>
      <c:catAx>
        <c:axId val="21526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191552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9155264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526016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196"/>
          <c:w val="0.90163934426229508"/>
          <c:h val="0.6093083350254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-1.7125271088323055E-3"/>
                  <c:y val="-8.169398994980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3</c:v>
                </c:pt>
                <c:pt idx="10">
                  <c:v>7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219294208"/>
        <c:axId val="219157568"/>
      </c:barChart>
      <c:lineChart>
        <c:grouping val="standard"/>
        <c:varyColors val="0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23E-2"/>
                  <c:y val="-9.818989176659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9294208"/>
        <c:axId val="219157568"/>
      </c:lineChart>
      <c:catAx>
        <c:axId val="21929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191575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9157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929420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324"/>
          <c:y val="4.7801259676108827E-2"/>
          <c:w val="0.66842495782518374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34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40401801847668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9292160"/>
        <c:axId val="219159296"/>
      </c:barChart>
      <c:catAx>
        <c:axId val="219292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159296"/>
        <c:crosses val="autoZero"/>
        <c:auto val="1"/>
        <c:lblAlgn val="ctr"/>
        <c:lblOffset val="100"/>
        <c:noMultiLvlLbl val="0"/>
      </c:catAx>
      <c:valAx>
        <c:axId val="219159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29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586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2.9534850524869941E-2"/>
                  <c:y val="6.2327557561705927E-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713383512019352"/>
                      <c:h val="0.16936936936936936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4.3102231035427284E-3"/>
                  <c:y val="-0.20891741306163195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735115178216635E-2"/>
                  <c:y val="0.7226335328283111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263318506058864"/>
                  <c:y val="2.996954683651741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254063354770508"/>
                      <c:h val="0.1667148292096489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68"/>
                  <c:y val="0.126918031395592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55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337</c:v>
                </c:pt>
                <c:pt idx="1">
                  <c:v>22</c:v>
                </c:pt>
                <c:pt idx="2">
                  <c:v>92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83"/>
          <c:w val="0.69916093882220476"/>
          <c:h val="0.66278002067270014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3168355792860532E-2"/>
                  <c:y val="0.38496962816781177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727198725343065E-2"/>
                  <c:y val="3.524683576329991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025469991165362"/>
                      <c:h val="0.1850378300365429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8049165338899025E-2"/>
                  <c:y val="9.1870117241212405E-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55604380993251E-2"/>
                  <c:y val="-7.79644999927866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69482414084336"/>
                  <c:y val="-5.071623757552071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33648057344130367"/>
                  <c:y val="2.258471882129567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909973671493484"/>
                      <c:h val="0.1348492617558861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194</c:v>
                </c:pt>
                <c:pt idx="1">
                  <c:v>133</c:v>
                </c:pt>
                <c:pt idx="2">
                  <c:v>65</c:v>
                </c:pt>
                <c:pt idx="3">
                  <c:v>17</c:v>
                </c:pt>
                <c:pt idx="4">
                  <c:v>20</c:v>
                </c:pt>
                <c:pt idx="5">
                  <c:v>11</c:v>
                </c:pt>
                <c:pt idx="6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90437309522445E-3"/>
          <c:y val="0.30566617650848138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406</c:v>
                </c:pt>
                <c:pt idx="1">
                  <c:v>31</c:v>
                </c:pt>
                <c:pt idx="2">
                  <c:v>1</c:v>
                </c:pt>
                <c:pt idx="3">
                  <c:v>28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309</c:v>
                </c:pt>
                <c:pt idx="1">
                  <c:v>23</c:v>
                </c:pt>
                <c:pt idx="2">
                  <c:v>2</c:v>
                </c:pt>
                <c:pt idx="3">
                  <c:v>19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19075072"/>
        <c:axId val="219680128"/>
        <c:axId val="0"/>
      </c:bar3DChart>
      <c:catAx>
        <c:axId val="21907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9680128"/>
        <c:crosses val="autoZero"/>
        <c:auto val="1"/>
        <c:lblAlgn val="ctr"/>
        <c:lblOffset val="100"/>
        <c:noMultiLvlLbl val="0"/>
      </c:catAx>
      <c:valAx>
        <c:axId val="219680128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1907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72895858922701E-2"/>
          <c:y val="0.14214725680405643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3989309490416848E-2"/>
                  <c:y val="-0.2731426068560190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7422801268655367"/>
                  <c:y val="1.726586576241685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217022934776711"/>
                  <c:y val="-0.771707649432386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4219245101241895"/>
                  <c:y val="1.5760652741459602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661060534065107"/>
                      <c:h val="0.17398561921760228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6.5238744300833762E-2"/>
                  <c:y val="2.68180302221355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77748268413820643"/>
                  <c:y val="0.2450596666036530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12218946634594"/>
                      <c:h val="0.2700677323591431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2.3382489070261081E-2"/>
                  <c:y val="-2.8312676149075676E-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153</c:v>
                </c:pt>
                <c:pt idx="1">
                  <c:v>6</c:v>
                </c:pt>
                <c:pt idx="2">
                  <c:v>9</c:v>
                </c:pt>
                <c:pt idx="3">
                  <c:v>2</c:v>
                </c:pt>
                <c:pt idx="4">
                  <c:v>17</c:v>
                </c:pt>
                <c:pt idx="5">
                  <c:v>72</c:v>
                </c:pt>
                <c:pt idx="6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174</c:v>
                </c:pt>
                <c:pt idx="1">
                  <c:v>12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143</c:v>
                </c:pt>
                <c:pt idx="1">
                  <c:v>7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219075584"/>
        <c:axId val="273482880"/>
        <c:axId val="0"/>
      </c:bar3DChart>
      <c:catAx>
        <c:axId val="21907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3482880"/>
        <c:crosses val="autoZero"/>
        <c:auto val="1"/>
        <c:lblAlgn val="ctr"/>
        <c:lblOffset val="100"/>
        <c:noMultiLvlLbl val="0"/>
      </c:catAx>
      <c:valAx>
        <c:axId val="27348288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21907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7.png"/><Relationship Id="rId1" Type="http://schemas.openxmlformats.org/officeDocument/2006/relationships/image" Target="../media/image6.png"/><Relationship Id="rId4" Type="http://schemas.openxmlformats.org/officeDocument/2006/relationships/image" Target="../media/image8.png"/></Relationships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png"/><Relationship Id="rId2" Type="http://schemas.openxmlformats.org/officeDocument/2006/relationships/image" Target="../media/image10.png"/><Relationship Id="rId1" Type="http://schemas.openxmlformats.org/officeDocument/2006/relationships/image" Target="../media/image9.png"/><Relationship Id="rId4" Type="http://schemas.openxmlformats.org/officeDocument/2006/relationships/image" Target="../media/image12.png"/></Relationships>
</file>

<file path=word/drawing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4.png"/><Relationship Id="rId1" Type="http://schemas.openxmlformats.org/officeDocument/2006/relationships/image" Target="../media/image13.png"/><Relationship Id="rId4" Type="http://schemas.openxmlformats.org/officeDocument/2006/relationships/image" Target="../media/image14.emf"/></Relationships>
</file>

<file path=word/drawing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png"/><Relationship Id="rId2" Type="http://schemas.openxmlformats.org/officeDocument/2006/relationships/image" Target="../media/image15.png"/><Relationship Id="rId1" Type="http://schemas.openxmlformats.org/officeDocument/2006/relationships/image" Target="../media/image4.png"/><Relationship Id="rId4" Type="http://schemas.openxmlformats.org/officeDocument/2006/relationships/image" Target="../media/image17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0.56885</cdr:x>
      <cdr:y>0.5616</cdr:y>
    </cdr:from>
    <cdr:to>
      <cdr:x>0.65481</cdr:x>
      <cdr:y>0.63572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88298" y="2345835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0.80309</cdr:x>
      <cdr:y>0.36944</cdr:y>
    </cdr:from>
    <cdr:to>
      <cdr:x>0.91601</cdr:x>
      <cdr:y>0.43583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4725" y="1543169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0.16865</cdr:x>
      <cdr:y>0.14227</cdr:y>
    </cdr:from>
    <cdr:to>
      <cdr:x>0.28157</cdr:x>
      <cdr:y>0.20866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34211" y="594265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0.36982</cdr:x>
      <cdr:y>0.31575</cdr:y>
    </cdr:from>
    <cdr:to>
      <cdr:x>0.48273</cdr:x>
      <cdr:y>0.38213</cdr:y>
    </cdr:to>
    <cdr:sp macro="" textlink="">
      <cdr:nvSpPr>
        <cdr:cNvPr id="6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67789" y="1318883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0.18147</cdr:x>
      <cdr:y>0.05989</cdr:y>
    </cdr:from>
    <cdr:to>
      <cdr:x>0.26378</cdr:x>
      <cdr:y>0.11689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12807" y="250166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0.38123</cdr:x>
      <cdr:y>0.21685</cdr:y>
    </cdr:from>
    <cdr:to>
      <cdr:x>0.46354</cdr:x>
      <cdr:y>0.27385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337759" y="905773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0.5838</cdr:x>
      <cdr:y>0.45434</cdr:y>
    </cdr:from>
    <cdr:to>
      <cdr:x>0.65213</cdr:x>
      <cdr:y>0.51135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579962" y="1897811"/>
          <a:ext cx="419048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0.81732</cdr:x>
      <cdr:y>0.27467</cdr:y>
    </cdr:from>
    <cdr:to>
      <cdr:x>0.89963</cdr:x>
      <cdr:y>0.33167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5011947" y="1147313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0.54964</cdr:x>
      <cdr:y>0.52933</cdr:y>
    </cdr:from>
    <cdr:to>
      <cdr:x>0.63305</cdr:x>
      <cdr:y>0.61668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561750" y="1827842"/>
          <a:ext cx="540531" cy="30164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0.14362</cdr:x>
      <cdr:y>0.22456</cdr:y>
    </cdr:from>
    <cdr:to>
      <cdr:x>0.23926</cdr:x>
      <cdr:y>0.30656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694" y="775419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0.35262</cdr:x>
      <cdr:y>0.36445</cdr:y>
    </cdr:from>
    <cdr:to>
      <cdr:x>0.44826</cdr:x>
      <cdr:y>0.44645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5042" y="1258499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0.75597</cdr:x>
      <cdr:y>0.38693</cdr:y>
    </cdr:from>
    <cdr:to>
      <cdr:x>0.85161</cdr:x>
      <cdr:y>0.46894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98845" y="1336136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0.14244</cdr:x>
      <cdr:y>0.1299</cdr:y>
    </cdr:from>
    <cdr:to>
      <cdr:x>0.22231</cdr:x>
      <cdr:y>0.18817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23027" y="448575"/>
          <a:ext cx="517585" cy="20120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0.37141</cdr:x>
      <cdr:y>0.25231</cdr:y>
    </cdr:from>
    <cdr:to>
      <cdr:x>0.4493</cdr:x>
      <cdr:y>0.32126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406770" y="871268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0.56576</cdr:x>
      <cdr:y>0.4072</cdr:y>
    </cdr:from>
    <cdr:to>
      <cdr:x>0.63043</cdr:x>
      <cdr:y>0.47615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666226" y="1406106"/>
          <a:ext cx="419048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0.76012</cdr:x>
      <cdr:y>0.27979</cdr:y>
    </cdr:from>
    <cdr:to>
      <cdr:x>0.83801</cdr:x>
      <cdr:y>0.34874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925683" y="966158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0.15587</cdr:x>
      <cdr:y>0.19734</cdr:y>
    </cdr:from>
    <cdr:to>
      <cdr:x>0.25506</cdr:x>
      <cdr:y>0.27549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73826" y="715034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0.3616</cdr:x>
      <cdr:y>0.39019</cdr:y>
    </cdr:from>
    <cdr:to>
      <cdr:x>0.46079</cdr:x>
      <cdr:y>0.46834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9163" y="1413774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0.78271</cdr:x>
      <cdr:y>0.44019</cdr:y>
    </cdr:from>
    <cdr:to>
      <cdr:x>0.88191</cdr:x>
      <cdr:y>0.51833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90219" y="1594928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0.53986</cdr:x>
      <cdr:y>0.59758</cdr:y>
    </cdr:from>
    <cdr:to>
      <cdr:x>0.65876</cdr:x>
      <cdr:y>0.6633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372929" y="2165231"/>
          <a:ext cx="7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0.16707</cdr:x>
      <cdr:y>0.1119</cdr:y>
    </cdr:from>
    <cdr:to>
      <cdr:x>0.24786</cdr:x>
      <cdr:y>0.17761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043796" y="405441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0.37418</cdr:x>
      <cdr:y>0.28808</cdr:y>
    </cdr:from>
    <cdr:to>
      <cdr:x>0.45497</cdr:x>
      <cdr:y>0.35379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337758" y="1043796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0.80634</cdr:x>
      <cdr:y>0.34284</cdr:y>
    </cdr:from>
    <cdr:to>
      <cdr:x>0.86884</cdr:x>
      <cdr:y>0.40855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5037827" y="1242204"/>
          <a:ext cx="390476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0.17279</cdr:x>
      <cdr:y>0.13044</cdr:y>
    </cdr:from>
    <cdr:to>
      <cdr:x>0.25734</cdr:x>
      <cdr:y>0.21105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103223" y="456241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0.56189</cdr:x>
      <cdr:y>0.51274</cdr:y>
    </cdr:from>
    <cdr:to>
      <cdr:x>0.64644</cdr:x>
      <cdr:y>0.59334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587631" y="1793336"/>
          <a:ext cx="539853" cy="28190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0.35368</cdr:x>
      <cdr:y>0.33242</cdr:y>
    </cdr:from>
    <cdr:to>
      <cdr:x>0.45074</cdr:x>
      <cdr:y>0.41337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8205" y="1162650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0.77791</cdr:x>
      <cdr:y>0.33242</cdr:y>
    </cdr:from>
    <cdr:to>
      <cdr:x>0.87497</cdr:x>
      <cdr:y>0.41337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66899" y="1162649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0.37695</cdr:x>
      <cdr:y>0.20964</cdr:y>
    </cdr:from>
    <cdr:to>
      <cdr:x>0.4381</cdr:x>
      <cdr:y>0.27772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406770" y="733245"/>
          <a:ext cx="390476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0.57015</cdr:x>
      <cdr:y>0.38969</cdr:y>
    </cdr:from>
    <cdr:to>
      <cdr:x>0.63578</cdr:x>
      <cdr:y>0.45776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3640347" y="1362973"/>
          <a:ext cx="419048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0.77551</cdr:x>
      <cdr:y>0.22691</cdr:y>
    </cdr:from>
    <cdr:to>
      <cdr:x>0.85456</cdr:x>
      <cdr:y>0.29498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4951562" y="793630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0.03946</cdr:y>
    </cdr:from>
    <cdr:to>
      <cdr:x>1</cdr:x>
      <cdr:y>0.58685</cdr:y>
    </cdr:to>
    <cdr:pic>
      <cdr:nvPicPr>
        <cdr:cNvPr id="1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38023"/>
          <a:ext cx="6384925" cy="1914525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0.57193</cdr:x>
      <cdr:y>0.51522</cdr:y>
    </cdr:from>
    <cdr:to>
      <cdr:x>0.65597</cdr:x>
      <cdr:y>0.59967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673894" y="1758830"/>
          <a:ext cx="539854" cy="2883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0.58685</cdr:x>
      <cdr:y>0.40431</cdr:y>
    </cdr:from>
    <cdr:to>
      <cdr:x>0.65209</cdr:x>
      <cdr:y>0.47406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769743" y="1380227"/>
          <a:ext cx="419048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0.34483</cdr:x>
      <cdr:y>0.33047</cdr:y>
    </cdr:from>
    <cdr:to>
      <cdr:x>0.44131</cdr:x>
      <cdr:y>0.41342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15072" y="1128144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0.78799</cdr:x>
      <cdr:y>0.36837</cdr:y>
    </cdr:from>
    <cdr:to>
      <cdr:x>0.88447</cdr:x>
      <cdr:y>0.45132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61790" y="1257540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0.16085</cdr:x>
      <cdr:y>0.18138</cdr:y>
    </cdr:from>
    <cdr:to>
      <cdr:x>0.25733</cdr:x>
      <cdr:y>0.26433</cdr:y>
    </cdr:to>
    <cdr:sp macro="" textlink="">
      <cdr:nvSpPr>
        <cdr:cNvPr id="6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33253" y="619186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0.16652</cdr:x>
      <cdr:y>0.0935</cdr:y>
    </cdr:from>
    <cdr:to>
      <cdr:x>0.2451</cdr:x>
      <cdr:y>0.16324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069675" y="319177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0.37467</cdr:x>
      <cdr:y>0.23248</cdr:y>
    </cdr:from>
    <cdr:to>
      <cdr:x>0.43546</cdr:x>
      <cdr:y>0.30223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406770" y="793630"/>
          <a:ext cx="390476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0.80038</cdr:x>
      <cdr:y>0.28555</cdr:y>
    </cdr:from>
    <cdr:to>
      <cdr:x>0.87895</cdr:x>
      <cdr:y>0.35529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5141344" y="974785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F812-853F-48B6-BD6D-EA3C046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5</cp:revision>
  <cp:lastPrinted>2021-11-10T11:42:00Z</cp:lastPrinted>
  <dcterms:created xsi:type="dcterms:W3CDTF">2022-02-04T05:57:00Z</dcterms:created>
  <dcterms:modified xsi:type="dcterms:W3CDTF">2022-02-04T06:22:00Z</dcterms:modified>
</cp:coreProperties>
</file>